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B3" w:rsidRPr="00677EB3" w:rsidRDefault="00677EB3" w:rsidP="00677EB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Arial" w:eastAsia="Times New Roman" w:hAnsi="Arial" w:cs="Arial"/>
          <w:noProof/>
          <w:color w:val="333333"/>
          <w:sz w:val="27"/>
          <w:szCs w:val="27"/>
          <w:lang w:eastAsia="hu-HU"/>
        </w:rPr>
        <w:drawing>
          <wp:inline distT="0" distB="0" distL="0" distR="0" wp14:anchorId="5BEE3B0A" wp14:editId="73260D57">
            <wp:extent cx="5953125" cy="851297"/>
            <wp:effectExtent l="0" t="0" r="0" b="635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445" cy="85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EB3" w:rsidRPr="00677EB3" w:rsidRDefault="00677EB3" w:rsidP="00677EB3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Budapesti Módszertani Szociális Központ és Intézményei</w:t>
      </w:r>
    </w:p>
    <w:p w:rsidR="00677EB3" w:rsidRPr="00677EB3" w:rsidRDefault="00677EB3" w:rsidP="00677EB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677EB3" w:rsidRPr="00677EB3" w:rsidRDefault="00677EB3" w:rsidP="00677EB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</w:t>
      </w:r>
      <w:proofErr w:type="gramEnd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Közalkalmazottak jogállásáról szóló 1992. évi XXXIII. törvény 20/A. § alapján</w:t>
      </w:r>
    </w:p>
    <w:p w:rsidR="00677EB3" w:rsidRPr="00677EB3" w:rsidRDefault="00677EB3" w:rsidP="00677EB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pályázatot</w:t>
      </w:r>
      <w:proofErr w:type="gramEnd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hirdet</w:t>
      </w:r>
    </w:p>
    <w:p w:rsidR="00677EB3" w:rsidRPr="00677EB3" w:rsidRDefault="00677EB3" w:rsidP="00677EB3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Budapesti Módszertani Szociális Központ és Intézményei </w:t>
      </w:r>
      <w:r w:rsidRPr="00677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  <w:t>Nappali Melegedő 1134 Budapest, Dózsa György út 152.</w:t>
      </w:r>
      <w:r w:rsidRPr="00677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677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677EB3">
        <w:rPr>
          <w:rFonts w:ascii="Arial" w:eastAsia="Times New Roman" w:hAnsi="Arial" w:cs="Arial"/>
          <w:b/>
          <w:bCs/>
          <w:color w:val="333333"/>
          <w:sz w:val="33"/>
          <w:szCs w:val="33"/>
          <w:lang w:eastAsia="hu-HU"/>
        </w:rPr>
        <w:t>segítő</w:t>
      </w:r>
    </w:p>
    <w:p w:rsidR="00677EB3" w:rsidRPr="00677EB3" w:rsidRDefault="00677EB3" w:rsidP="00677EB3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munkakör</w:t>
      </w:r>
      <w:proofErr w:type="gramEnd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betöltésére.</w:t>
      </w:r>
      <w:bookmarkStart w:id="0" w:name="_GoBack"/>
      <w:bookmarkEnd w:id="0"/>
    </w:p>
    <w:p w:rsidR="00677EB3" w:rsidRPr="00677EB3" w:rsidRDefault="00677EB3" w:rsidP="00677EB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 közalkalmazotti jogviszony időtartama:</w:t>
      </w:r>
    </w:p>
    <w:p w:rsidR="00677EB3" w:rsidRPr="00677EB3" w:rsidRDefault="00677EB3" w:rsidP="00677EB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határozatlan</w:t>
      </w:r>
      <w:proofErr w:type="gramEnd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idejű közalkalmazotti jogviszony</w:t>
      </w:r>
    </w:p>
    <w:p w:rsidR="00677EB3" w:rsidRPr="00677EB3" w:rsidRDefault="00677EB3" w:rsidP="00677E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677EB3" w:rsidRPr="00677EB3" w:rsidRDefault="00677EB3" w:rsidP="00677E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Foglalkoztatás jellege:</w:t>
      </w:r>
    </w:p>
    <w:p w:rsidR="00677EB3" w:rsidRPr="00677EB3" w:rsidRDefault="00677EB3" w:rsidP="00677EB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Teljes munkaidő</w:t>
      </w:r>
    </w:p>
    <w:p w:rsidR="00677EB3" w:rsidRPr="00677EB3" w:rsidRDefault="00677EB3" w:rsidP="00677EB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munkavégzés helye:</w:t>
      </w:r>
    </w:p>
    <w:p w:rsidR="00677EB3" w:rsidRPr="00677EB3" w:rsidRDefault="00677EB3" w:rsidP="00677EB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Budapest, 1134 Budapest XIII. kerület, Dózsa György út 152.</w:t>
      </w:r>
    </w:p>
    <w:p w:rsidR="00677EB3" w:rsidRPr="00677EB3" w:rsidRDefault="00677EB3" w:rsidP="00677EB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munkakörbe tartozó, illetve a vezetői megbízással járó lényeges feladatok:</w:t>
      </w:r>
    </w:p>
    <w:p w:rsidR="00677EB3" w:rsidRPr="00677EB3" w:rsidRDefault="00677EB3" w:rsidP="00677EB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Az intézménybe érkező ügyfelek szükségleteinek megfelelő szociális és </w:t>
      </w:r>
      <w:proofErr w:type="gramStart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mentális</w:t>
      </w:r>
      <w:proofErr w:type="gramEnd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segítségnyújtás. A melegedő által nyújtott szolgáltatások igénybevételének megszervezése, lebonyolítása, </w:t>
      </w:r>
      <w:proofErr w:type="gramStart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koordinálása</w:t>
      </w:r>
      <w:proofErr w:type="gramEnd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, az intézmény által használt elektronikus programba való rögzítése. Kapcsolattartás társintézményekkel. Naprakész </w:t>
      </w:r>
      <w:proofErr w:type="gramStart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információk</w:t>
      </w:r>
      <w:proofErr w:type="gramEnd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által tájékoztatás, szociális ügyintézésben való segítségnyújtás. </w:t>
      </w:r>
      <w:proofErr w:type="gramStart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Aktív</w:t>
      </w:r>
      <w:proofErr w:type="gramEnd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részvétel az intézmény által szervezett rendezvények, foglalkozások lebonyolításában, vezetésében. Részvétel a szakmai megbeszéléseken, </w:t>
      </w:r>
      <w:proofErr w:type="gramStart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teameken</w:t>
      </w:r>
      <w:proofErr w:type="gramEnd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.</w:t>
      </w:r>
    </w:p>
    <w:p w:rsidR="00677EB3" w:rsidRPr="00677EB3" w:rsidRDefault="00677EB3" w:rsidP="00677EB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Illetmény és juttatások:</w:t>
      </w:r>
    </w:p>
    <w:p w:rsidR="00677EB3" w:rsidRPr="00677EB3" w:rsidRDefault="00677EB3" w:rsidP="00677EB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lastRenderedPageBreak/>
        <w:t xml:space="preserve">Az illetmény megállapítására és a juttatásokra a Közalkalmazottak jogállásáról szóló 1992. évi XXXIII. törvény </w:t>
      </w:r>
      <w:proofErr w:type="gramStart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rendelkezései ,</w:t>
      </w:r>
      <w:proofErr w:type="gramEnd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valamint a(z) Kjt. szociális, gyermekjóléti és gyermekvédelmi ágazatban történő végrehajtásáról szóló 257/2000. (XII. 26.) Korm. rendelet 5. számú melléklete (szociális ágazati összevont pótlék), továbbá a BMSZKI belső szabályzatának (éves szinten bruttó 200.000.-Ft </w:t>
      </w:r>
      <w:proofErr w:type="spellStart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cafeteria</w:t>
      </w:r>
      <w:proofErr w:type="spellEnd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), illetve belső utasításainak (utazási költségtérítés és éves szinten bruttó 60.000.-Ft ruházati költségtérítés) rendelkezései az irányadók.</w:t>
      </w:r>
    </w:p>
    <w:p w:rsidR="00677EB3" w:rsidRPr="00677EB3" w:rsidRDefault="00677EB3" w:rsidP="00677E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677EB3" w:rsidRPr="00677EB3" w:rsidRDefault="00677EB3" w:rsidP="00677EB3">
      <w:pPr>
        <w:spacing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Pályázati feltételek:</w:t>
      </w:r>
    </w:p>
    <w:p w:rsidR="00677EB3" w:rsidRPr="00677EB3" w:rsidRDefault="00677EB3" w:rsidP="00677EB3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77EB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Középfokú képesítés,</w:t>
      </w:r>
    </w:p>
    <w:p w:rsidR="00677EB3" w:rsidRPr="00677EB3" w:rsidRDefault="00677EB3" w:rsidP="00677EB3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77EB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Felhasználói szintű MS Office (irodai alkalmazások),</w:t>
      </w:r>
    </w:p>
    <w:p w:rsidR="00677EB3" w:rsidRPr="00677EB3" w:rsidRDefault="00677EB3" w:rsidP="00677EB3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77EB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Magyar állampolgárság, büntetlen előélet, cselekvőképesség</w:t>
      </w:r>
    </w:p>
    <w:p w:rsidR="00677EB3" w:rsidRPr="00677EB3" w:rsidRDefault="00677EB3" w:rsidP="00677EB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elbírálásánál előnyt jelent:</w:t>
      </w:r>
    </w:p>
    <w:p w:rsidR="00677EB3" w:rsidRPr="00677EB3" w:rsidRDefault="00677EB3" w:rsidP="00677EB3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77EB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Szociális területen szerzett szakmai tapasztalat</w:t>
      </w:r>
    </w:p>
    <w:p w:rsidR="00677EB3" w:rsidRPr="00677EB3" w:rsidRDefault="00677EB3" w:rsidP="00677EB3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77EB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Középfokú szociális végzettség (érettségire épülő képzések)</w:t>
      </w:r>
    </w:p>
    <w:p w:rsidR="00677EB3" w:rsidRPr="00677EB3" w:rsidRDefault="00677EB3" w:rsidP="00677EB3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77EB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Megkezdett közép- vagy felsőfokú szociális képzés</w:t>
      </w:r>
    </w:p>
    <w:p w:rsidR="00677EB3" w:rsidRPr="00677EB3" w:rsidRDefault="00677EB3" w:rsidP="00677EB3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Előnyt jelentő </w:t>
      </w:r>
      <w:proofErr w:type="gramStart"/>
      <w:r w:rsidRPr="00677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kompetenciák</w:t>
      </w:r>
      <w:proofErr w:type="gramEnd"/>
      <w:r w:rsidRPr="00677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:</w:t>
      </w:r>
    </w:p>
    <w:p w:rsidR="00677EB3" w:rsidRPr="00677EB3" w:rsidRDefault="00677EB3" w:rsidP="00677EB3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77EB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Jó szintű kommunikációs és kapcsolatteremtő képesség</w:t>
      </w:r>
    </w:p>
    <w:p w:rsidR="00677EB3" w:rsidRPr="00677EB3" w:rsidRDefault="00677EB3" w:rsidP="00677EB3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77EB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Jó szintű konfliktuskezelő képesség</w:t>
      </w:r>
    </w:p>
    <w:p w:rsidR="00677EB3" w:rsidRPr="00677EB3" w:rsidRDefault="00677EB3" w:rsidP="00677EB3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77EB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Nagyfokú rugalmasság</w:t>
      </w:r>
    </w:p>
    <w:p w:rsidR="00677EB3" w:rsidRPr="00677EB3" w:rsidRDefault="00677EB3" w:rsidP="00677EB3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77EB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Következetesség</w:t>
      </w:r>
    </w:p>
    <w:p w:rsidR="00677EB3" w:rsidRPr="00677EB3" w:rsidRDefault="00677EB3" w:rsidP="00677EB3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77EB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Pontosság, precizitás, megbízhatóság</w:t>
      </w:r>
    </w:p>
    <w:p w:rsidR="00677EB3" w:rsidRPr="00677EB3" w:rsidRDefault="00677EB3" w:rsidP="00677EB3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77EB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Kreativitás</w:t>
      </w:r>
    </w:p>
    <w:p w:rsidR="00677EB3" w:rsidRPr="00677EB3" w:rsidRDefault="00677EB3" w:rsidP="00677EB3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77EB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Jó szintű együttműködési készség</w:t>
      </w:r>
    </w:p>
    <w:p w:rsidR="00677EB3" w:rsidRPr="00677EB3" w:rsidRDefault="00677EB3" w:rsidP="00677EB3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77EB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Tud </w:t>
      </w:r>
      <w:proofErr w:type="gramStart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teamben</w:t>
      </w:r>
      <w:proofErr w:type="gramEnd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dolgozni</w:t>
      </w:r>
    </w:p>
    <w:p w:rsidR="00677EB3" w:rsidRPr="00677EB3" w:rsidRDefault="00677EB3" w:rsidP="00677EB3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részeként benyújtandó iratok, igazolások:</w:t>
      </w:r>
    </w:p>
    <w:p w:rsidR="00677EB3" w:rsidRPr="00677EB3" w:rsidRDefault="00677EB3" w:rsidP="00677EB3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77EB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Részletes szakmai önéletrajz</w:t>
      </w:r>
    </w:p>
    <w:p w:rsidR="00677EB3" w:rsidRPr="00677EB3" w:rsidRDefault="00677EB3" w:rsidP="00677EB3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77EB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Motivációs levél</w:t>
      </w:r>
    </w:p>
    <w:p w:rsidR="00677EB3" w:rsidRPr="00677EB3" w:rsidRDefault="00677EB3" w:rsidP="00677EB3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77EB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Végzettséget igazoló okiratok másolata</w:t>
      </w:r>
    </w:p>
    <w:p w:rsidR="00677EB3" w:rsidRPr="00677EB3" w:rsidRDefault="00677EB3" w:rsidP="00677EB3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77EB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Érvényes, 3 hónapon belüli hatósági erkölcsi bizonyítvány vagy nyilatkozat arról, hogy sikeres pályázat esetén, a jogszabálynak megfelelő érvényes hatósági erkölcsi bizonyítványt a belépés napjáig bemutatja</w:t>
      </w:r>
    </w:p>
    <w:p w:rsidR="00677EB3" w:rsidRPr="00677EB3" w:rsidRDefault="00677EB3" w:rsidP="00677EB3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77EB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Nyilatkozat arról, hogy a pályázó hozzájárul a pályázati anyagában foglalt személyes adatainak pályázati eljárással összefüggő kezeléséhez</w:t>
      </w:r>
    </w:p>
    <w:p w:rsidR="00677EB3" w:rsidRPr="00677EB3" w:rsidRDefault="00677EB3" w:rsidP="00677EB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A munkakör </w:t>
      </w:r>
      <w:proofErr w:type="spellStart"/>
      <w:r w:rsidRPr="00677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betölthetőségének</w:t>
      </w:r>
      <w:proofErr w:type="spellEnd"/>
      <w:r w:rsidRPr="00677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 időpontja:</w:t>
      </w:r>
    </w:p>
    <w:p w:rsidR="00677EB3" w:rsidRPr="00677EB3" w:rsidRDefault="00677EB3" w:rsidP="00677EB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lastRenderedPageBreak/>
        <w:t>A munkakör a pályázatok elbírálását követően azonnal betölthető.</w:t>
      </w:r>
    </w:p>
    <w:p w:rsidR="00677EB3" w:rsidRPr="00677EB3" w:rsidRDefault="00677EB3" w:rsidP="00677EB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benyújtásának határideje:</w:t>
      </w:r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2019. szeptember 6.</w:t>
      </w:r>
    </w:p>
    <w:p w:rsidR="00677EB3" w:rsidRPr="00677EB3" w:rsidRDefault="00677EB3" w:rsidP="00677EB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pályázati kiírással kapcsolatosan további </w:t>
      </w:r>
      <w:proofErr w:type="gramStart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információt</w:t>
      </w:r>
      <w:proofErr w:type="gramEnd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Donkóné Gazsi Éva nyújt, a 06306490293 -</w:t>
      </w:r>
      <w:proofErr w:type="spellStart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os</w:t>
      </w:r>
      <w:proofErr w:type="spellEnd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telefonszámon.</w:t>
      </w:r>
    </w:p>
    <w:p w:rsidR="00677EB3" w:rsidRPr="00677EB3" w:rsidRDefault="00677EB3" w:rsidP="00677EB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pályázatok benyújtásának módja:</w:t>
      </w:r>
    </w:p>
    <w:p w:rsidR="00677EB3" w:rsidRPr="00677EB3" w:rsidRDefault="00677EB3" w:rsidP="00677EB3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77EB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Elektronikus úton a Személy- és munkaügyi csoport részére </w:t>
      </w:r>
      <w:proofErr w:type="gramStart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</w:t>
      </w:r>
      <w:proofErr w:type="gramEnd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allaspalyazat@bmszki.hu E-mail címen keresztül</w:t>
      </w:r>
    </w:p>
    <w:p w:rsidR="00677EB3" w:rsidRPr="00677EB3" w:rsidRDefault="00677EB3" w:rsidP="00677EB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elbírálásának módja, rendje:</w:t>
      </w:r>
    </w:p>
    <w:p w:rsidR="00677EB3" w:rsidRPr="00677EB3" w:rsidRDefault="00677EB3" w:rsidP="00677EB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pályázat beküldése előtt, </w:t>
      </w:r>
      <w:proofErr w:type="gramStart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kérjük</w:t>
      </w:r>
      <w:proofErr w:type="gramEnd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olvassa el a pályázók személyes adatainak kezeléséről szóló BMSZKI adatvédelmi tájékoztatóját a www.bmszki.hu/adatvédelem oldalon. A benyújtott pályázatok értékelése alapján, a kiválasztott pályázók személyes meghallgatáson vesznek részt. A pályázókat írásban értesítjük. A határidőn túl érkező, valamint a pályázati feltételeknek tartalmilag nem megfelelő, illetve hiányos pályázatokat nem áll módunkban elfogadni.</w:t>
      </w:r>
    </w:p>
    <w:p w:rsidR="00677EB3" w:rsidRPr="00677EB3" w:rsidRDefault="00677EB3" w:rsidP="00677EB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elbírálásának határideje:</w:t>
      </w:r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2019. szeptember 20.</w:t>
      </w:r>
    </w:p>
    <w:p w:rsidR="00677EB3" w:rsidRPr="00677EB3" w:rsidRDefault="00677EB3" w:rsidP="00677EB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pályázati kiírás további közzétételének helye, ideje:</w:t>
      </w:r>
    </w:p>
    <w:p w:rsidR="00677EB3" w:rsidRPr="00677EB3" w:rsidRDefault="00677EB3" w:rsidP="00677EB3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77EB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www.budapest.hu</w:t>
      </w:r>
      <w:proofErr w:type="gramEnd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- 2019. augusztus 21.</w:t>
      </w:r>
    </w:p>
    <w:p w:rsidR="00677EB3" w:rsidRPr="00677EB3" w:rsidRDefault="00677EB3" w:rsidP="00677EB3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77EB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www.bmszki.hu</w:t>
      </w:r>
      <w:proofErr w:type="gramEnd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- 2019. augusztus 21.</w:t>
      </w:r>
    </w:p>
    <w:p w:rsidR="00677EB3" w:rsidRPr="00677EB3" w:rsidRDefault="00677EB3" w:rsidP="00677EB3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77EB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</w:t>
      </w:r>
      <w:proofErr w:type="gramStart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3sz.</w:t>
      </w:r>
      <w:proofErr w:type="gramEnd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hu - 2019. augusztus 21.</w:t>
      </w:r>
    </w:p>
    <w:p w:rsidR="00677EB3" w:rsidRPr="00677EB3" w:rsidRDefault="00677EB3" w:rsidP="00677EB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A munkáltatóval kapcsolatos egyéb lényeges </w:t>
      </w:r>
      <w:proofErr w:type="gramStart"/>
      <w:r w:rsidRPr="00677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információ</w:t>
      </w:r>
      <w:proofErr w:type="gramEnd"/>
      <w:r w:rsidRPr="00677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:</w:t>
      </w:r>
    </w:p>
    <w:p w:rsidR="00677EB3" w:rsidRPr="00677EB3" w:rsidRDefault="00677EB3" w:rsidP="00677EB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Kérjük az e-mail tárgy rovatában feltüntetni a pályázati adatbázisban </w:t>
      </w:r>
      <w:proofErr w:type="gramStart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szereplő azonosító</w:t>
      </w:r>
      <w:proofErr w:type="gramEnd"/>
      <w:r w:rsidRPr="00677EB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számot: "MÜ/1286-1/2019" valamint a munkakör megnevezését: "segítő". Sikeres pályázat esetén, a munkába állás feltétele: belépés napján érvényes, 3 hónapon belüli hatósági erkölcsi bizonyítvány és a BMSZKI foglalkozás-egészségügyi orvosa által kiállított elsőfokú munkaköri orvosi alkalmassági vélemény.</w:t>
      </w:r>
    </w:p>
    <w:p w:rsidR="00677EB3" w:rsidRPr="00677EB3" w:rsidRDefault="00677EB3" w:rsidP="00677EB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77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A munkáltatóval kapcsolatban további </w:t>
      </w:r>
      <w:proofErr w:type="gramStart"/>
      <w:r w:rsidRPr="00677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információt</w:t>
      </w:r>
      <w:proofErr w:type="gramEnd"/>
      <w:r w:rsidRPr="00677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 a www.bmszki.hu honlapon szerezhet.</w:t>
      </w:r>
    </w:p>
    <w:p w:rsidR="007B67A9" w:rsidRDefault="007B67A9"/>
    <w:sectPr w:rsidR="007B6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B3"/>
    <w:rsid w:val="00677EB3"/>
    <w:rsid w:val="007B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3E0D3-F733-4DFB-8046-0C19F238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sosedit</dc:creator>
  <cp:keywords/>
  <dc:description/>
  <cp:lastModifiedBy>sosedit</cp:lastModifiedBy>
  <cp:revision>1</cp:revision>
  <dcterms:created xsi:type="dcterms:W3CDTF">2019-08-15T10:47:00Z</dcterms:created>
  <dcterms:modified xsi:type="dcterms:W3CDTF">2019-08-15T10:50:00Z</dcterms:modified>
</cp:coreProperties>
</file>